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/>
          <w:sz w:val="40"/>
          <w:szCs w:val="32"/>
        </w:rPr>
      </w:pPr>
      <w:r>
        <w:rPr>
          <w:rFonts w:hint="eastAsia" w:ascii="方正小标宋简体" w:hAnsi="Times New Roman" w:eastAsia="方正小标宋简体"/>
          <w:sz w:val="40"/>
          <w:szCs w:val="32"/>
        </w:rPr>
        <w:t>中央高校基本科研业务费2015年度实施情况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/>
          <w:sz w:val="40"/>
          <w:szCs w:val="32"/>
        </w:rPr>
      </w:pPr>
      <w:r>
        <w:rPr>
          <w:rFonts w:hint="eastAsia" w:ascii="方正小标宋简体" w:hAnsi="Times New Roman" w:eastAsia="方正小标宋简体"/>
          <w:sz w:val="40"/>
          <w:szCs w:val="32"/>
        </w:rPr>
        <w:t>总结提纲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学校名称：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科研管理联系人：          联系电话：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财务管理联系人：          联系电话：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二、组织管理模式和机制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1.组织领导机制建设（包括工作领导小组组长、副组长及职务；工作领导小组组成部门；管理办公室挂靠部门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ascii="Times New Roman" w:hAnsi="Times New Roman" w:eastAsia="仿宋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组织实施和</w:t>
      </w:r>
      <w:r>
        <w:rPr>
          <w:rFonts w:ascii="Times New Roman" w:hAnsi="Times New Roman" w:eastAsia="仿宋_GB2312"/>
          <w:sz w:val="32"/>
          <w:szCs w:val="32"/>
        </w:rPr>
        <w:t>决策机制</w:t>
      </w:r>
      <w:r>
        <w:rPr>
          <w:rFonts w:hint="eastAsia" w:ascii="Times New Roman" w:hAnsi="Times New Roman" w:eastAsia="仿宋_GB2312"/>
          <w:sz w:val="32"/>
          <w:szCs w:val="32"/>
        </w:rPr>
        <w:t>建设、现行组织管理模式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3.项目组织、经费执行的具体措施和执行情况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4.完善相关配套政策、</w:t>
      </w:r>
      <w:r>
        <w:rPr>
          <w:rFonts w:ascii="Times New Roman" w:hAnsi="Times New Roman" w:eastAsia="仿宋_GB2312"/>
          <w:sz w:val="32"/>
          <w:szCs w:val="32"/>
        </w:rPr>
        <w:t>管理办法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细则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5.提高资金使用绩效的措施和办法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三、预期目标及完成情况（包括预期目标、支持重点、经费使用、支持的项目</w:t>
      </w:r>
      <w:r>
        <w:rPr>
          <w:rFonts w:ascii="黑体" w:hAnsi="黑体" w:eastAsia="黑体"/>
          <w:sz w:val="32"/>
          <w:szCs w:val="32"/>
        </w:rPr>
        <w:t>类型、组织方式</w:t>
      </w:r>
      <w:r>
        <w:rPr>
          <w:rFonts w:hint="eastAsia" w:ascii="黑体" w:hAnsi="黑体" w:eastAsia="黑体"/>
          <w:sz w:val="32"/>
          <w:szCs w:val="32"/>
        </w:rPr>
        <w:t>等）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附表1：201</w:t>
      </w:r>
      <w:r>
        <w:rPr>
          <w:rFonts w:hint="eastAsia" w:ascii="Times New Roman" w:hAnsi="Times New Roman" w:eastAsia="仿宋_GB2312"/>
          <w:sz w:val="24"/>
          <w:szCs w:val="24"/>
        </w:rPr>
        <w:t>5</w:t>
      </w:r>
      <w:r>
        <w:rPr>
          <w:rFonts w:ascii="Times New Roman" w:hAnsi="Times New Roman" w:eastAsia="仿宋_GB2312"/>
          <w:sz w:val="24"/>
          <w:szCs w:val="24"/>
        </w:rPr>
        <w:t>年基本情况统计表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                               单位：万元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080"/>
        <w:gridCol w:w="126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项目类型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资助数量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资助人数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资金总量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资金占比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资助对象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附表2：2015年主要产出</w:t>
      </w:r>
    </w:p>
    <w:tbl>
      <w:tblPr>
        <w:tblStyle w:val="3"/>
        <w:tblW w:w="87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2266"/>
        <w:gridCol w:w="250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58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出版科技著作</w:t>
            </w:r>
          </w:p>
        </w:tc>
        <w:tc>
          <w:tcPr>
            <w:tcW w:w="2266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</w:tc>
        <w:tc>
          <w:tcPr>
            <w:tcW w:w="250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发表学术论文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58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0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其中国外学术期刊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申请发明专利</w:t>
            </w:r>
          </w:p>
        </w:tc>
        <w:tc>
          <w:tcPr>
            <w:tcW w:w="226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250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授权发明专利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93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其他知识产权（软件、集成电路设计、动植物新品种、国家新药登记等）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424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科技成果获奖（省部级以上）</w:t>
            </w:r>
          </w:p>
        </w:tc>
        <w:tc>
          <w:tcPr>
            <w:tcW w:w="250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424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0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424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0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四、科研业务费设立以来实施效果自评价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1.队伍建设取得的成效（包括在创新团队、引进高水平人才，提高师资队伍能力水平等方面的成效，以及新增院士、长江学者、国家杰青等杰出创新人才方面的数量等）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2.人才培养方面取得的成效（包括在提升人才培养能力、培养模式改革、学生创新方面的典型成效等）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3.学科发展能力方面取得的成效（包括对培育形成重大创新方向、</w:t>
      </w:r>
      <w:r>
        <w:rPr>
          <w:rFonts w:hint="eastAsia" w:ascii="仿宋_GB2312" w:hAnsi="Times New Roman" w:eastAsia="仿宋_GB2312"/>
          <w:sz w:val="32"/>
          <w:szCs w:val="32"/>
        </w:rPr>
        <w:t>强化学科发展能力</w:t>
      </w:r>
      <w:r>
        <w:rPr>
          <w:rFonts w:hint="eastAsia" w:ascii="Times New Roman" w:hAnsi="Times New Roman" w:eastAsia="仿宋_GB2312"/>
          <w:sz w:val="32"/>
          <w:szCs w:val="32"/>
        </w:rPr>
        <w:t>等方面的作用等，以及新增省部级以上学科基地、创新基地等方面的数量等）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4.其他方面的成效和产出（包括培育重大科研项目、获奖等）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五、组织管理经验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六、工作中面临的问题及</w:t>
      </w:r>
      <w:r>
        <w:rPr>
          <w:rFonts w:ascii="黑体" w:hAnsi="黑体" w:eastAsia="黑体"/>
          <w:sz w:val="32"/>
          <w:szCs w:val="32"/>
        </w:rPr>
        <w:t>下一步方案、</w:t>
      </w:r>
      <w:r>
        <w:rPr>
          <w:rFonts w:hint="eastAsia" w:ascii="黑体" w:hAnsi="黑体" w:eastAsia="黑体"/>
          <w:sz w:val="32"/>
          <w:szCs w:val="32"/>
        </w:rPr>
        <w:t>措施,对提高</w:t>
      </w:r>
      <w:r>
        <w:rPr>
          <w:rFonts w:ascii="黑体" w:hAnsi="黑体" w:eastAsia="黑体"/>
          <w:sz w:val="32"/>
          <w:szCs w:val="32"/>
        </w:rPr>
        <w:t>基本科研业务费</w:t>
      </w:r>
      <w:r>
        <w:rPr>
          <w:rFonts w:hint="eastAsia" w:ascii="黑体" w:hAnsi="黑体" w:eastAsia="黑体"/>
          <w:sz w:val="32"/>
          <w:szCs w:val="32"/>
        </w:rPr>
        <w:t>使用绩效的建议等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A50B7"/>
    <w:rsid w:val="3A2A50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2016-10-14T01:33:00Z</dcterms:created>
  <dc:creator>dell</dc:creator>
  <cp:lastModifiedBy>dell</cp:lastModifiedBy>
  <dcterms:modified xsi:type="dcterms:W3CDTF">2016-10-14T01:34:47Z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