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77" w:rsidRDefault="00801F77" w:rsidP="00801F77">
      <w:pPr>
        <w:adjustRightInd w:val="0"/>
        <w:snapToGrid w:val="0"/>
        <w:spacing w:afterLines="50" w:after="156" w:line="280" w:lineRule="exact"/>
        <w:ind w:firstLineChars="200" w:firstLine="560"/>
        <w:jc w:val="center"/>
        <w:rPr>
          <w:rFonts w:ascii="Times New Roman" w:eastAsia="黑体" w:hAnsi="Times New Roman" w:hint="eastAsia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30"/>
        </w:rPr>
        <w:t>表</w:t>
      </w:r>
      <w:r>
        <w:rPr>
          <w:rFonts w:ascii="黑体" w:eastAsia="黑体" w:hAnsi="黑体"/>
          <w:sz w:val="28"/>
          <w:szCs w:val="30"/>
        </w:rPr>
        <w:t>3</w:t>
      </w:r>
      <w:r>
        <w:rPr>
          <w:rFonts w:ascii="黑体" w:eastAsia="黑体" w:hAnsi="黑体" w:hint="eastAsia"/>
          <w:sz w:val="28"/>
          <w:szCs w:val="30"/>
        </w:rPr>
        <w:t xml:space="preserve"> </w:t>
      </w:r>
      <w:r>
        <w:rPr>
          <w:rFonts w:ascii="黑体" w:eastAsia="黑体" w:hAnsi="黑体"/>
          <w:sz w:val="28"/>
          <w:szCs w:val="30"/>
        </w:rPr>
        <w:t xml:space="preserve"> </w:t>
      </w:r>
      <w:r>
        <w:rPr>
          <w:rFonts w:ascii="Times New Roman" w:eastAsia="黑体" w:hAnsi="Times New Roman" w:hint="eastAsia"/>
          <w:kern w:val="0"/>
          <w:sz w:val="28"/>
          <w:szCs w:val="28"/>
        </w:rPr>
        <w:t>内蒙古自治区</w:t>
      </w:r>
      <w:r>
        <w:rPr>
          <w:rFonts w:ascii="Times New Roman" w:eastAsia="黑体" w:hAnsi="Times New Roman" w:hint="eastAsia"/>
          <w:kern w:val="0"/>
          <w:sz w:val="28"/>
          <w:szCs w:val="28"/>
        </w:rPr>
        <w:t>25</w:t>
      </w:r>
      <w:r>
        <w:rPr>
          <w:rFonts w:ascii="Times New Roman" w:eastAsia="黑体" w:hAnsi="Times New Roman" w:hint="eastAsia"/>
          <w:kern w:val="0"/>
          <w:sz w:val="28"/>
          <w:szCs w:val="28"/>
        </w:rPr>
        <w:t>个县政府推进义务教育均衡发展工作得分情况表</w:t>
      </w:r>
      <w:r>
        <w:rPr>
          <w:rFonts w:ascii="Times New Roman" w:eastAsia="黑体" w:hAnsi="Times New Roman" w:hint="eastAsia"/>
          <w:kern w:val="0"/>
          <w:sz w:val="28"/>
          <w:szCs w:val="28"/>
        </w:rPr>
        <w:t>(</w:t>
      </w:r>
      <w:proofErr w:type="gramStart"/>
      <w:r>
        <w:rPr>
          <w:rFonts w:ascii="Times New Roman" w:eastAsia="黑体" w:hAnsi="Times New Roman" w:hint="eastAsia"/>
          <w:kern w:val="0"/>
          <w:sz w:val="28"/>
          <w:szCs w:val="28"/>
        </w:rPr>
        <w:t>一</w:t>
      </w:r>
      <w:proofErr w:type="gramEnd"/>
      <w:r>
        <w:rPr>
          <w:rFonts w:ascii="Times New Roman" w:eastAsia="黑体" w:hAnsi="Times New Roman" w:hint="eastAsia"/>
          <w:kern w:val="0"/>
          <w:sz w:val="28"/>
          <w:szCs w:val="28"/>
        </w:rPr>
        <w:t>)</w:t>
      </w:r>
    </w:p>
    <w:tbl>
      <w:tblPr>
        <w:tblW w:w="14844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4BACC6"/>
          <w:insideV w:val="single" w:sz="4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4167"/>
        <w:gridCol w:w="575"/>
        <w:gridCol w:w="575"/>
        <w:gridCol w:w="664"/>
        <w:gridCol w:w="602"/>
        <w:gridCol w:w="28"/>
        <w:gridCol w:w="574"/>
        <w:gridCol w:w="56"/>
        <w:gridCol w:w="6"/>
        <w:gridCol w:w="571"/>
        <w:gridCol w:w="53"/>
        <w:gridCol w:w="580"/>
        <w:gridCol w:w="50"/>
        <w:gridCol w:w="583"/>
        <w:gridCol w:w="47"/>
        <w:gridCol w:w="586"/>
        <w:gridCol w:w="44"/>
        <w:gridCol w:w="589"/>
        <w:gridCol w:w="41"/>
        <w:gridCol w:w="592"/>
        <w:gridCol w:w="38"/>
        <w:gridCol w:w="595"/>
        <w:gridCol w:w="35"/>
        <w:gridCol w:w="598"/>
        <w:gridCol w:w="36"/>
        <w:gridCol w:w="597"/>
        <w:gridCol w:w="36"/>
        <w:gridCol w:w="597"/>
        <w:gridCol w:w="36"/>
        <w:gridCol w:w="36"/>
      </w:tblGrid>
      <w:tr w:rsidR="00801F77" w:rsidTr="000475A5">
        <w:trPr>
          <w:gridAfter w:val="2"/>
          <w:wAfter w:w="72" w:type="dxa"/>
          <w:cantSplit/>
          <w:trHeight w:val="1435"/>
          <w:tblHeader/>
          <w:jc w:val="center"/>
        </w:trPr>
        <w:tc>
          <w:tcPr>
            <w:tcW w:w="1257" w:type="dxa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4167" w:type="dxa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评估标准</w:t>
            </w:r>
          </w:p>
        </w:tc>
        <w:tc>
          <w:tcPr>
            <w:tcW w:w="1150" w:type="dxa"/>
            <w:gridSpan w:val="2"/>
            <w:tcBorders>
              <w:tl2br w:val="single" w:sz="4" w:space="0" w:color="4BACC6"/>
            </w:tcBorders>
            <w:vAlign w:val="center"/>
          </w:tcPr>
          <w:p w:rsidR="00801F77" w:rsidRDefault="00801F77" w:rsidP="000475A5">
            <w:pPr>
              <w:widowControl/>
              <w:spacing w:line="240" w:lineRule="exact"/>
              <w:jc w:val="right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区县</w:t>
            </w:r>
          </w:p>
          <w:p w:rsidR="00801F77" w:rsidRDefault="00801F77" w:rsidP="000475A5">
            <w:pPr>
              <w:widowControl/>
              <w:spacing w:line="240" w:lineRule="exact"/>
              <w:jc w:val="left"/>
              <w:rPr>
                <w:rFonts w:ascii="Times New Roman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801F77" w:rsidRDefault="00801F77" w:rsidP="000475A5">
            <w:pPr>
              <w:widowControl/>
              <w:spacing w:line="240" w:lineRule="exact"/>
              <w:jc w:val="left"/>
              <w:rPr>
                <w:rFonts w:ascii="Times New Roman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801F77" w:rsidRDefault="00801F77" w:rsidP="000475A5">
            <w:pPr>
              <w:spacing w:line="240" w:lineRule="exact"/>
              <w:ind w:left="-43" w:right="113"/>
              <w:rPr>
                <w:rFonts w:ascii="Times New Roman" w:hAnsi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664" w:type="dxa"/>
            <w:textDirection w:val="tbRlV"/>
            <w:vAlign w:val="center"/>
          </w:tcPr>
          <w:p w:rsidR="00801F77" w:rsidRDefault="00801F77" w:rsidP="000475A5">
            <w:pPr>
              <w:spacing w:line="240" w:lineRule="exact"/>
              <w:ind w:left="113" w:right="113"/>
              <w:jc w:val="center"/>
              <w:rPr>
                <w:rFonts w:ascii="Times New Roman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赛罕区</w:t>
            </w:r>
          </w:p>
        </w:tc>
        <w:tc>
          <w:tcPr>
            <w:tcW w:w="602" w:type="dxa"/>
            <w:textDirection w:val="tbRlV"/>
          </w:tcPr>
          <w:p w:rsidR="00801F77" w:rsidRDefault="00801F77" w:rsidP="000475A5">
            <w:pPr>
              <w:spacing w:line="240" w:lineRule="exact"/>
              <w:ind w:left="113" w:right="113"/>
              <w:jc w:val="center"/>
              <w:rPr>
                <w:rFonts w:ascii="宋体" w:hAnsi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和林格尔县</w:t>
            </w:r>
          </w:p>
        </w:tc>
        <w:tc>
          <w:tcPr>
            <w:tcW w:w="602" w:type="dxa"/>
            <w:gridSpan w:val="2"/>
            <w:textDirection w:val="tbRlV"/>
            <w:vAlign w:val="center"/>
          </w:tcPr>
          <w:p w:rsidR="00801F77" w:rsidRDefault="00801F77" w:rsidP="000475A5">
            <w:pPr>
              <w:spacing w:line="240" w:lineRule="exact"/>
              <w:ind w:left="113" w:right="113"/>
              <w:jc w:val="center"/>
              <w:rPr>
                <w:rFonts w:ascii="Times New Roman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青山区</w:t>
            </w:r>
          </w:p>
        </w:tc>
        <w:tc>
          <w:tcPr>
            <w:tcW w:w="633" w:type="dxa"/>
            <w:gridSpan w:val="3"/>
            <w:textDirection w:val="tbRlV"/>
            <w:vAlign w:val="center"/>
          </w:tcPr>
          <w:p w:rsidR="00801F77" w:rsidRDefault="00801F77" w:rsidP="000475A5">
            <w:pPr>
              <w:spacing w:line="240" w:lineRule="exact"/>
              <w:ind w:left="113" w:right="113"/>
              <w:jc w:val="center"/>
              <w:rPr>
                <w:rFonts w:ascii="Times New Roman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石拐区</w:t>
            </w:r>
            <w:proofErr w:type="gramEnd"/>
          </w:p>
        </w:tc>
        <w:tc>
          <w:tcPr>
            <w:tcW w:w="633" w:type="dxa"/>
            <w:gridSpan w:val="2"/>
            <w:textDirection w:val="tbRlV"/>
            <w:vAlign w:val="center"/>
          </w:tcPr>
          <w:p w:rsidR="00801F77" w:rsidRDefault="00801F77" w:rsidP="000475A5">
            <w:pPr>
              <w:spacing w:line="240" w:lineRule="exact"/>
              <w:ind w:left="113" w:right="113"/>
              <w:jc w:val="center"/>
              <w:rPr>
                <w:rFonts w:ascii="Times New Roman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白云鄂博矿区</w:t>
            </w:r>
          </w:p>
        </w:tc>
        <w:tc>
          <w:tcPr>
            <w:tcW w:w="633" w:type="dxa"/>
            <w:gridSpan w:val="2"/>
            <w:textDirection w:val="tbRlV"/>
            <w:vAlign w:val="center"/>
          </w:tcPr>
          <w:p w:rsidR="00801F77" w:rsidRDefault="00801F77" w:rsidP="000475A5">
            <w:pPr>
              <w:spacing w:line="240" w:lineRule="exact"/>
              <w:ind w:left="113" w:right="113"/>
              <w:jc w:val="center"/>
              <w:rPr>
                <w:rFonts w:ascii="Times New Roman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固阳县</w:t>
            </w:r>
          </w:p>
        </w:tc>
        <w:tc>
          <w:tcPr>
            <w:tcW w:w="633" w:type="dxa"/>
            <w:gridSpan w:val="2"/>
            <w:textDirection w:val="tbRlV"/>
            <w:vAlign w:val="center"/>
          </w:tcPr>
          <w:p w:rsidR="00801F77" w:rsidRDefault="00801F77" w:rsidP="000475A5">
            <w:pPr>
              <w:spacing w:line="240" w:lineRule="exact"/>
              <w:ind w:left="113" w:right="113"/>
              <w:jc w:val="center"/>
              <w:rPr>
                <w:rFonts w:ascii="Times New Roman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达尔罕茂明安联合旗</w:t>
            </w:r>
          </w:p>
        </w:tc>
        <w:tc>
          <w:tcPr>
            <w:tcW w:w="633" w:type="dxa"/>
            <w:gridSpan w:val="2"/>
            <w:textDirection w:val="tbRlV"/>
            <w:vAlign w:val="center"/>
          </w:tcPr>
          <w:p w:rsidR="00801F77" w:rsidRDefault="00801F77" w:rsidP="000475A5">
            <w:pPr>
              <w:spacing w:line="240" w:lineRule="exact"/>
              <w:ind w:left="113" w:right="113"/>
              <w:jc w:val="center"/>
              <w:rPr>
                <w:rFonts w:ascii="Times New Roman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林西县</w:t>
            </w:r>
          </w:p>
        </w:tc>
        <w:tc>
          <w:tcPr>
            <w:tcW w:w="633" w:type="dxa"/>
            <w:gridSpan w:val="2"/>
            <w:textDirection w:val="tbRlV"/>
            <w:vAlign w:val="center"/>
          </w:tcPr>
          <w:p w:rsidR="00801F77" w:rsidRDefault="00801F77" w:rsidP="000475A5">
            <w:pPr>
              <w:spacing w:line="240" w:lineRule="exact"/>
              <w:ind w:left="113" w:right="113"/>
              <w:jc w:val="center"/>
              <w:rPr>
                <w:rFonts w:ascii="Times New Roman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扎鲁特旗</w:t>
            </w:r>
          </w:p>
        </w:tc>
        <w:tc>
          <w:tcPr>
            <w:tcW w:w="633" w:type="dxa"/>
            <w:gridSpan w:val="2"/>
            <w:textDirection w:val="tbRlV"/>
            <w:vAlign w:val="center"/>
          </w:tcPr>
          <w:p w:rsidR="00801F77" w:rsidRDefault="00801F77" w:rsidP="000475A5">
            <w:pPr>
              <w:spacing w:line="240" w:lineRule="exact"/>
              <w:ind w:left="113" w:right="113"/>
              <w:jc w:val="center"/>
              <w:rPr>
                <w:rFonts w:ascii="Times New Roman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准格尔旗</w:t>
            </w:r>
          </w:p>
        </w:tc>
        <w:tc>
          <w:tcPr>
            <w:tcW w:w="633" w:type="dxa"/>
            <w:gridSpan w:val="2"/>
            <w:textDirection w:val="tbRlV"/>
            <w:vAlign w:val="center"/>
          </w:tcPr>
          <w:p w:rsidR="00801F77" w:rsidRDefault="00801F77" w:rsidP="000475A5">
            <w:pPr>
              <w:spacing w:line="240" w:lineRule="exact"/>
              <w:ind w:left="113" w:right="113"/>
              <w:jc w:val="center"/>
              <w:rPr>
                <w:rFonts w:ascii="Times New Roman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鄂托克前旗</w:t>
            </w:r>
          </w:p>
        </w:tc>
        <w:tc>
          <w:tcPr>
            <w:tcW w:w="633" w:type="dxa"/>
            <w:gridSpan w:val="2"/>
            <w:textDirection w:val="tbRlV"/>
            <w:vAlign w:val="center"/>
          </w:tcPr>
          <w:p w:rsidR="00801F77" w:rsidRDefault="00801F77" w:rsidP="000475A5">
            <w:pPr>
              <w:spacing w:line="240" w:lineRule="exact"/>
              <w:ind w:left="113" w:right="113"/>
              <w:jc w:val="center"/>
              <w:rPr>
                <w:rFonts w:ascii="Times New Roman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伊金霍洛旗</w:t>
            </w:r>
          </w:p>
        </w:tc>
        <w:tc>
          <w:tcPr>
            <w:tcW w:w="633" w:type="dxa"/>
            <w:gridSpan w:val="2"/>
            <w:textDirection w:val="tbRlV"/>
            <w:vAlign w:val="center"/>
          </w:tcPr>
          <w:p w:rsidR="00801F77" w:rsidRDefault="00801F77" w:rsidP="000475A5">
            <w:pPr>
              <w:spacing w:line="240" w:lineRule="exact"/>
              <w:ind w:left="113" w:right="113"/>
              <w:jc w:val="center"/>
              <w:rPr>
                <w:rFonts w:ascii="Times New Roman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根河市</w:t>
            </w:r>
          </w:p>
        </w:tc>
      </w:tr>
      <w:tr w:rsidR="00801F77" w:rsidTr="000475A5">
        <w:trPr>
          <w:trHeight w:val="397"/>
          <w:jc w:val="center"/>
        </w:trPr>
        <w:tc>
          <w:tcPr>
            <w:tcW w:w="1257" w:type="dxa"/>
            <w:vMerge w:val="restart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A1入学机会</w:t>
            </w:r>
          </w:p>
          <w:p w:rsidR="00801F77" w:rsidRDefault="00801F77" w:rsidP="000475A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（20分）</w:t>
            </w:r>
          </w:p>
        </w:tc>
        <w:tc>
          <w:tcPr>
            <w:tcW w:w="4167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1.进城务工人员随迁子女就学纳入流入地教育发展规划。坚持以流入地政府管理为主、以全日制公办中小学为主，纳入流入地政府财政保障体系。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</w:p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</w:p>
          <w:p w:rsidR="00801F77" w:rsidRDefault="00801F77" w:rsidP="000475A5">
            <w:pPr>
              <w:widowControl/>
              <w:spacing w:line="240" w:lineRule="exact"/>
              <w:ind w:firstLineChars="50" w:firstLine="9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L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  <w:p w:rsidR="00801F77" w:rsidRDefault="00801F77" w:rsidP="000475A5">
            <w:pPr>
              <w:spacing w:line="240" w:lineRule="exact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64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4.5</w:t>
            </w:r>
          </w:p>
        </w:tc>
        <w:tc>
          <w:tcPr>
            <w:tcW w:w="636" w:type="dxa"/>
            <w:gridSpan w:val="3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624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4.5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4.5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634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3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669" w:type="dxa"/>
            <w:gridSpan w:val="3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</w:tr>
      <w:tr w:rsidR="00801F77" w:rsidTr="000475A5">
        <w:trPr>
          <w:trHeight w:val="397"/>
          <w:jc w:val="center"/>
        </w:trPr>
        <w:tc>
          <w:tcPr>
            <w:tcW w:w="1257" w:type="dxa"/>
            <w:vMerge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2.构建起以政府为主导，学校、家庭、社会各方面广泛参与的留守儿童关爱体系和动态监测机制。加快农村牧区寄宿制学校建设，满足留守儿童入学住宿需求。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L2</w:t>
            </w:r>
          </w:p>
          <w:p w:rsidR="00801F77" w:rsidRDefault="00801F77" w:rsidP="000475A5">
            <w:pPr>
              <w:spacing w:line="240" w:lineRule="exact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64" w:type="dxa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6" w:type="dxa"/>
            <w:gridSpan w:val="3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624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4.5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634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3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669" w:type="dxa"/>
            <w:gridSpan w:val="3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</w:tr>
      <w:tr w:rsidR="00801F77" w:rsidTr="000475A5">
        <w:trPr>
          <w:trHeight w:val="397"/>
          <w:jc w:val="center"/>
        </w:trPr>
        <w:tc>
          <w:tcPr>
            <w:tcW w:w="1257" w:type="dxa"/>
            <w:vMerge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3.三类残疾儿童少年义务教育入学率不低于80%。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L3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64" w:type="dxa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6" w:type="dxa"/>
            <w:gridSpan w:val="3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24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34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3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69" w:type="dxa"/>
            <w:gridSpan w:val="3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</w:tr>
      <w:tr w:rsidR="00801F77" w:rsidTr="000475A5">
        <w:trPr>
          <w:trHeight w:val="397"/>
          <w:jc w:val="center"/>
        </w:trPr>
        <w:tc>
          <w:tcPr>
            <w:tcW w:w="1257" w:type="dxa"/>
            <w:vMerge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4.实行小学升初中划片就近入学。优质普通高中招生名额按初中规模合理分配，其分配比例不低于60%。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L4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64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6" w:type="dxa"/>
            <w:gridSpan w:val="3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5.5</w:t>
            </w:r>
          </w:p>
        </w:tc>
        <w:tc>
          <w:tcPr>
            <w:tcW w:w="624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5.5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5.5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634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3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669" w:type="dxa"/>
            <w:gridSpan w:val="3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</w:tr>
      <w:tr w:rsidR="00801F77" w:rsidTr="000475A5">
        <w:trPr>
          <w:trHeight w:val="397"/>
          <w:jc w:val="center"/>
        </w:trPr>
        <w:tc>
          <w:tcPr>
            <w:tcW w:w="1257" w:type="dxa"/>
            <w:vMerge w:val="restart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A2 保障机制</w:t>
            </w:r>
          </w:p>
          <w:p w:rsidR="00801F77" w:rsidRDefault="00801F77" w:rsidP="000475A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（25分）</w:t>
            </w:r>
          </w:p>
        </w:tc>
        <w:tc>
          <w:tcPr>
            <w:tcW w:w="4167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1.建立了义务教育均衡发展责任制度、监督机制和问责机制。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L5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64" w:type="dxa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36" w:type="dxa"/>
            <w:gridSpan w:val="3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624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3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</w:tr>
      <w:tr w:rsidR="00801F77" w:rsidTr="000475A5">
        <w:trPr>
          <w:trHeight w:val="397"/>
          <w:jc w:val="center"/>
        </w:trPr>
        <w:tc>
          <w:tcPr>
            <w:tcW w:w="1257" w:type="dxa"/>
            <w:vMerge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2.义务教育经费在财政预算中单列，近三年义务教育经费做到“三个增长”。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L6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64" w:type="dxa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636" w:type="dxa"/>
            <w:gridSpan w:val="3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4.4</w:t>
            </w:r>
          </w:p>
        </w:tc>
        <w:tc>
          <w:tcPr>
            <w:tcW w:w="624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6.7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5.1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5.4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4.8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634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33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6.4</w:t>
            </w:r>
          </w:p>
        </w:tc>
        <w:tc>
          <w:tcPr>
            <w:tcW w:w="669" w:type="dxa"/>
            <w:gridSpan w:val="3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801F77" w:rsidTr="000475A5">
        <w:trPr>
          <w:trHeight w:val="397"/>
          <w:jc w:val="center"/>
        </w:trPr>
        <w:tc>
          <w:tcPr>
            <w:tcW w:w="1257" w:type="dxa"/>
            <w:vMerge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3.制定了义务教育学校标准化建设实施方案，并按实施方案完成进度计划。制定并有效实施了薄弱学校改造计划，坚持财政性教育经费向薄弱学校倾斜。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L7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64" w:type="dxa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6" w:type="dxa"/>
            <w:gridSpan w:val="3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624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634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3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669" w:type="dxa"/>
            <w:gridSpan w:val="3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801F77" w:rsidTr="000475A5">
        <w:trPr>
          <w:trHeight w:val="397"/>
          <w:jc w:val="center"/>
        </w:trPr>
        <w:tc>
          <w:tcPr>
            <w:tcW w:w="1257" w:type="dxa"/>
            <w:vMerge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4.农村税费改革转移支付资金主要用于教育。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L8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4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3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4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3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69" w:type="dxa"/>
            <w:gridSpan w:val="3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</w:tr>
      <w:tr w:rsidR="00801F77" w:rsidTr="000475A5">
        <w:trPr>
          <w:trHeight w:val="397"/>
          <w:jc w:val="center"/>
        </w:trPr>
        <w:tc>
          <w:tcPr>
            <w:tcW w:w="1257" w:type="dxa"/>
            <w:vMerge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5.教育费附加足额征收，及时足额用于教育。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L9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4" w:type="dxa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6" w:type="dxa"/>
            <w:gridSpan w:val="3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4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3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69" w:type="dxa"/>
            <w:gridSpan w:val="3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</w:tr>
      <w:tr w:rsidR="00801F77" w:rsidTr="000475A5">
        <w:trPr>
          <w:trHeight w:val="397"/>
          <w:jc w:val="center"/>
        </w:trPr>
        <w:tc>
          <w:tcPr>
            <w:tcW w:w="1257" w:type="dxa"/>
            <w:vMerge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6.在城市（镇）建设中合理规划义务教育学校布局，城市（镇）建设规划有学校建设规划，并按规划建设好学校。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L10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64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6" w:type="dxa"/>
            <w:gridSpan w:val="3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624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3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</w:tr>
      <w:tr w:rsidR="00801F77" w:rsidTr="000475A5">
        <w:trPr>
          <w:trHeight w:val="397"/>
          <w:jc w:val="center"/>
        </w:trPr>
        <w:tc>
          <w:tcPr>
            <w:tcW w:w="1257" w:type="dxa"/>
            <w:vMerge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7.在推进义务教育均衡发展过程中，对民族义务教育学校在项目上优先安排，在资金上予以倾斜。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L11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4" w:type="dxa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3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4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3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69" w:type="dxa"/>
            <w:gridSpan w:val="3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</w:tr>
      <w:tr w:rsidR="00801F77" w:rsidTr="000475A5">
        <w:trPr>
          <w:trHeight w:val="454"/>
          <w:jc w:val="center"/>
        </w:trPr>
        <w:tc>
          <w:tcPr>
            <w:tcW w:w="1257" w:type="dxa"/>
            <w:vMerge w:val="restart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A3教师队伍</w:t>
            </w:r>
          </w:p>
          <w:p w:rsidR="00801F77" w:rsidRDefault="00801F77" w:rsidP="000475A5">
            <w:pPr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（35分）</w:t>
            </w:r>
          </w:p>
        </w:tc>
        <w:tc>
          <w:tcPr>
            <w:tcW w:w="4167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1.全面实施义务教育学校教职工绩效工资制度，并按时足额发放。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L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64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6" w:type="dxa"/>
            <w:gridSpan w:val="3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624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634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3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8</w:t>
            </w:r>
          </w:p>
        </w:tc>
        <w:tc>
          <w:tcPr>
            <w:tcW w:w="669" w:type="dxa"/>
            <w:gridSpan w:val="3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</w:tr>
      <w:tr w:rsidR="00801F77" w:rsidTr="000475A5">
        <w:trPr>
          <w:trHeight w:val="454"/>
          <w:jc w:val="center"/>
        </w:trPr>
        <w:tc>
          <w:tcPr>
            <w:tcW w:w="1257" w:type="dxa"/>
            <w:vMerge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2.建立完善教师补充机制，新增教师优先满足农村牧区学校、城镇薄弱学校需求。按编制标准配齐合格的学科教师。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L13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64" w:type="dxa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6" w:type="dxa"/>
            <w:gridSpan w:val="3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624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7.5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634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33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669" w:type="dxa"/>
            <w:gridSpan w:val="3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</w:tr>
      <w:tr w:rsidR="00801F77" w:rsidTr="000475A5">
        <w:trPr>
          <w:trHeight w:val="454"/>
          <w:jc w:val="center"/>
        </w:trPr>
        <w:tc>
          <w:tcPr>
            <w:tcW w:w="1257" w:type="dxa"/>
            <w:vMerge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3.建立并有效实施了县域内义务教育学校校长和教师定期交流制度。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L14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64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636" w:type="dxa"/>
            <w:gridSpan w:val="3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624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634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3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4.5</w:t>
            </w:r>
          </w:p>
        </w:tc>
        <w:tc>
          <w:tcPr>
            <w:tcW w:w="669" w:type="dxa"/>
            <w:gridSpan w:val="3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</w:tr>
      <w:tr w:rsidR="00801F77" w:rsidTr="000475A5">
        <w:trPr>
          <w:trHeight w:val="454"/>
          <w:jc w:val="center"/>
        </w:trPr>
        <w:tc>
          <w:tcPr>
            <w:tcW w:w="1257" w:type="dxa"/>
            <w:vMerge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4.中小学教师培训经费按不低于教师工资总额的1-2%纳入财政预算；教育费附加中提取不低于15%用于中小学教师继续教育；农村学校按照年度公用经费总额的5%用于教师培训。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L15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64" w:type="dxa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6" w:type="dxa"/>
            <w:gridSpan w:val="3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624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634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3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669" w:type="dxa"/>
            <w:gridSpan w:val="3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</w:tr>
      <w:tr w:rsidR="00801F77" w:rsidTr="000475A5">
        <w:trPr>
          <w:trHeight w:val="454"/>
          <w:jc w:val="center"/>
        </w:trPr>
        <w:tc>
          <w:tcPr>
            <w:tcW w:w="1257" w:type="dxa"/>
            <w:vMerge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5.建有农村牧区教师周转宿舍，解决交流教师、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岗教师、支教教师的居住问题。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L16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4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3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24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4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3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69" w:type="dxa"/>
            <w:gridSpan w:val="3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</w:tr>
      <w:tr w:rsidR="00801F77" w:rsidTr="000475A5">
        <w:trPr>
          <w:trHeight w:val="454"/>
          <w:jc w:val="center"/>
        </w:trPr>
        <w:tc>
          <w:tcPr>
            <w:tcW w:w="1257" w:type="dxa"/>
            <w:vMerge w:val="restart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lastRenderedPageBreak/>
              <w:t>A4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质量与管理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（20分）</w:t>
            </w:r>
          </w:p>
        </w:tc>
        <w:tc>
          <w:tcPr>
            <w:tcW w:w="4167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1.按照《内蒙古自治区义务教育课程计划》，开齐开足国家课程，开好地方课程、校本课程。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L17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64" w:type="dxa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6" w:type="dxa"/>
            <w:gridSpan w:val="3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24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34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3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69" w:type="dxa"/>
            <w:gridSpan w:val="3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</w:tr>
      <w:tr w:rsidR="00801F77" w:rsidTr="000475A5">
        <w:trPr>
          <w:trHeight w:val="454"/>
          <w:jc w:val="center"/>
        </w:trPr>
        <w:tc>
          <w:tcPr>
            <w:tcW w:w="1257" w:type="dxa"/>
            <w:vMerge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2.九年义务教育巩固率达到93%。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L18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64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6" w:type="dxa"/>
            <w:gridSpan w:val="3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24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34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3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69" w:type="dxa"/>
            <w:gridSpan w:val="3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</w:tr>
      <w:tr w:rsidR="00801F77" w:rsidTr="000475A5">
        <w:trPr>
          <w:trHeight w:val="454"/>
          <w:jc w:val="center"/>
        </w:trPr>
        <w:tc>
          <w:tcPr>
            <w:tcW w:w="1257" w:type="dxa"/>
            <w:vMerge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3.小学、初中学生体质健康及格率均达到自治区规定的85%以上，保证每天开展1小时阳光体育活动。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L19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64" w:type="dxa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3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624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69" w:type="dxa"/>
            <w:gridSpan w:val="3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</w:tr>
      <w:tr w:rsidR="00801F77" w:rsidTr="000475A5">
        <w:trPr>
          <w:trHeight w:val="454"/>
          <w:jc w:val="center"/>
        </w:trPr>
        <w:tc>
          <w:tcPr>
            <w:tcW w:w="1257" w:type="dxa"/>
            <w:vMerge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4.义务教育阶段不存在重点校、重点班；公办义务教育学校择校现象得到基本遏制。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L20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64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6" w:type="dxa"/>
            <w:gridSpan w:val="3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24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69" w:type="dxa"/>
            <w:gridSpan w:val="3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</w:tr>
      <w:tr w:rsidR="00801F77" w:rsidTr="000475A5">
        <w:trPr>
          <w:gridAfter w:val="1"/>
          <w:wAfter w:w="36" w:type="dxa"/>
          <w:trHeight w:val="454"/>
          <w:jc w:val="center"/>
        </w:trPr>
        <w:tc>
          <w:tcPr>
            <w:tcW w:w="1257" w:type="dxa"/>
            <w:vMerge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167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.无利用节假日、双休日、课余时间组织学生集体补课现象。学生每天在校学习时间（包括自习）小学不超6小时，初中不超7小时。小学一、二年级不留课外作业，其他年级课外作业每天不超1小时，初中课外作业每天不超1.5小时。教育行政部门和学校建立了减轻中小学生过重课业负担管理制度、监测制度、举报制度和问责制度。中小学过重课业负担得到有效减轻。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L21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64" w:type="dxa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6" w:type="dxa"/>
            <w:gridSpan w:val="3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624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634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3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633" w:type="dxa"/>
            <w:gridSpan w:val="2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</w:tr>
      <w:tr w:rsidR="00801F77" w:rsidTr="000475A5">
        <w:trPr>
          <w:gridAfter w:val="1"/>
          <w:wAfter w:w="36" w:type="dxa"/>
          <w:trHeight w:val="454"/>
          <w:jc w:val="center"/>
        </w:trPr>
        <w:tc>
          <w:tcPr>
            <w:tcW w:w="5999" w:type="dxa"/>
            <w:gridSpan w:val="3"/>
            <w:shd w:val="clear" w:color="auto" w:fill="99CCFF"/>
            <w:vAlign w:val="center"/>
          </w:tcPr>
          <w:p w:rsidR="00801F77" w:rsidRDefault="00801F77" w:rsidP="000475A5">
            <w:pPr>
              <w:widowControl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总    分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64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86.9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85.9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92.9</w:t>
            </w:r>
          </w:p>
        </w:tc>
        <w:tc>
          <w:tcPr>
            <w:tcW w:w="630" w:type="dxa"/>
            <w:gridSpan w:val="3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91.3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88.2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86.6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ind w:rightChars="-32" w:right="-67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90.1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88.4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91.8</w:t>
            </w:r>
          </w:p>
        </w:tc>
        <w:tc>
          <w:tcPr>
            <w:tcW w:w="630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93</w:t>
            </w:r>
          </w:p>
        </w:tc>
        <w:tc>
          <w:tcPr>
            <w:tcW w:w="634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33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93.9</w:t>
            </w:r>
          </w:p>
        </w:tc>
        <w:tc>
          <w:tcPr>
            <w:tcW w:w="633" w:type="dxa"/>
            <w:gridSpan w:val="2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</w:t>
            </w:r>
          </w:p>
        </w:tc>
      </w:tr>
    </w:tbl>
    <w:p w:rsidR="00801F77" w:rsidRDefault="00801F77" w:rsidP="00801F77">
      <w:pPr>
        <w:adjustRightInd w:val="0"/>
        <w:snapToGrid w:val="0"/>
        <w:spacing w:afterLines="50" w:after="156" w:line="280" w:lineRule="exact"/>
        <w:ind w:firstLineChars="200" w:firstLine="560"/>
        <w:jc w:val="center"/>
        <w:rPr>
          <w:rFonts w:ascii="黑体" w:eastAsia="黑体" w:hAnsi="黑体"/>
          <w:sz w:val="28"/>
          <w:szCs w:val="30"/>
        </w:rPr>
      </w:pPr>
    </w:p>
    <w:p w:rsidR="00801F77" w:rsidRDefault="00801F77">
      <w:pPr>
        <w:widowControl/>
        <w:jc w:val="left"/>
        <w:rPr>
          <w:rFonts w:ascii="黑体" w:eastAsia="黑体" w:hAnsi="黑体"/>
          <w:sz w:val="28"/>
          <w:szCs w:val="30"/>
        </w:rPr>
      </w:pPr>
      <w:r>
        <w:rPr>
          <w:rFonts w:ascii="黑体" w:eastAsia="黑体" w:hAnsi="黑体"/>
          <w:sz w:val="28"/>
          <w:szCs w:val="30"/>
        </w:rPr>
        <w:br w:type="page"/>
      </w:r>
    </w:p>
    <w:p w:rsidR="00801F77" w:rsidRDefault="00801F77" w:rsidP="00801F77">
      <w:pPr>
        <w:adjustRightInd w:val="0"/>
        <w:snapToGrid w:val="0"/>
        <w:spacing w:afterLines="50" w:after="156" w:line="280" w:lineRule="exact"/>
        <w:ind w:firstLineChars="200" w:firstLine="560"/>
        <w:jc w:val="center"/>
        <w:rPr>
          <w:rFonts w:ascii="Times New Roman" w:eastAsia="黑体" w:hAnsi="Times New Roman"/>
          <w:kern w:val="0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30"/>
        </w:rPr>
        <w:lastRenderedPageBreak/>
        <w:t>表</w:t>
      </w:r>
      <w:r>
        <w:rPr>
          <w:rFonts w:ascii="黑体" w:eastAsia="黑体" w:hAnsi="黑体"/>
          <w:sz w:val="28"/>
          <w:szCs w:val="30"/>
        </w:rPr>
        <w:t>3</w:t>
      </w:r>
      <w:r>
        <w:rPr>
          <w:rFonts w:ascii="黑体" w:eastAsia="黑体" w:hAnsi="黑体" w:hint="eastAsia"/>
          <w:sz w:val="28"/>
          <w:szCs w:val="30"/>
        </w:rPr>
        <w:t xml:space="preserve"> </w:t>
      </w:r>
      <w:r>
        <w:rPr>
          <w:rFonts w:ascii="Times New Roman" w:eastAsia="黑体" w:hAnsi="Times New Roman"/>
          <w:kern w:val="0"/>
          <w:sz w:val="28"/>
          <w:szCs w:val="28"/>
        </w:rPr>
        <w:t>内蒙古自治区</w:t>
      </w:r>
      <w:r>
        <w:rPr>
          <w:rFonts w:ascii="Times New Roman" w:eastAsia="黑体" w:hAnsi="Times New Roman"/>
          <w:kern w:val="0"/>
          <w:sz w:val="28"/>
          <w:szCs w:val="28"/>
        </w:rPr>
        <w:t>25</w:t>
      </w:r>
      <w:r>
        <w:rPr>
          <w:rFonts w:ascii="Times New Roman" w:eastAsia="黑体" w:hAnsi="Times New Roman"/>
          <w:kern w:val="0"/>
          <w:sz w:val="28"/>
          <w:szCs w:val="28"/>
        </w:rPr>
        <w:t>个</w:t>
      </w:r>
      <w:r>
        <w:rPr>
          <w:rFonts w:ascii="Times New Roman" w:eastAsia="黑体" w:hAnsi="Times New Roman"/>
          <w:color w:val="000000"/>
          <w:kern w:val="0"/>
          <w:sz w:val="28"/>
          <w:szCs w:val="28"/>
        </w:rPr>
        <w:t>县政</w:t>
      </w:r>
      <w:r>
        <w:rPr>
          <w:rFonts w:ascii="Times New Roman" w:eastAsia="黑体" w:hAnsi="Times New Roman"/>
          <w:kern w:val="0"/>
          <w:sz w:val="28"/>
          <w:szCs w:val="28"/>
        </w:rPr>
        <w:t>府推进义务教育均衡发展工作得分情况表</w:t>
      </w:r>
      <w:r>
        <w:rPr>
          <w:rFonts w:ascii="Times New Roman" w:eastAsia="黑体" w:hAnsi="Times New Roman"/>
          <w:kern w:val="0"/>
          <w:sz w:val="28"/>
          <w:szCs w:val="28"/>
        </w:rPr>
        <w:t>(</w:t>
      </w:r>
      <w:r>
        <w:rPr>
          <w:rFonts w:ascii="Times New Roman" w:eastAsia="黑体" w:hAnsi="Times New Roman" w:hint="eastAsia"/>
          <w:kern w:val="0"/>
          <w:sz w:val="28"/>
          <w:szCs w:val="28"/>
        </w:rPr>
        <w:t>二</w:t>
      </w:r>
      <w:r>
        <w:rPr>
          <w:rFonts w:ascii="Times New Roman" w:eastAsia="黑体" w:hAnsi="Times New Roman"/>
          <w:kern w:val="0"/>
          <w:sz w:val="28"/>
          <w:szCs w:val="28"/>
        </w:rPr>
        <w:t>)</w:t>
      </w:r>
    </w:p>
    <w:tbl>
      <w:tblPr>
        <w:tblW w:w="0" w:type="auto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4BACC6"/>
          <w:insideV w:val="single" w:sz="4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4172"/>
        <w:gridCol w:w="576"/>
        <w:gridCol w:w="575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</w:tblGrid>
      <w:tr w:rsidR="00801F77" w:rsidTr="000475A5">
        <w:trPr>
          <w:cantSplit/>
          <w:trHeight w:val="1435"/>
          <w:tblHeader/>
        </w:trPr>
        <w:tc>
          <w:tcPr>
            <w:tcW w:w="1261" w:type="dxa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4172" w:type="dxa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评估标准</w:t>
            </w:r>
          </w:p>
        </w:tc>
        <w:tc>
          <w:tcPr>
            <w:tcW w:w="1151" w:type="dxa"/>
            <w:gridSpan w:val="2"/>
            <w:tcBorders>
              <w:tl2br w:val="single" w:sz="4" w:space="0" w:color="4BACC6"/>
            </w:tcBorders>
            <w:vAlign w:val="center"/>
          </w:tcPr>
          <w:p w:rsidR="00801F77" w:rsidRDefault="00801F77" w:rsidP="000475A5">
            <w:pPr>
              <w:widowControl/>
              <w:spacing w:line="240" w:lineRule="exact"/>
              <w:jc w:val="righ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区</w:t>
            </w: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县</w:t>
            </w:r>
          </w:p>
          <w:p w:rsidR="00801F77" w:rsidRDefault="00801F77" w:rsidP="000475A5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分</w:t>
            </w:r>
          </w:p>
          <w:p w:rsidR="00801F77" w:rsidRDefault="00801F77" w:rsidP="000475A5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值</w:t>
            </w:r>
          </w:p>
        </w:tc>
        <w:tc>
          <w:tcPr>
            <w:tcW w:w="633" w:type="dxa"/>
            <w:textDirection w:val="tbRlV"/>
            <w:vAlign w:val="center"/>
          </w:tcPr>
          <w:p w:rsidR="00801F77" w:rsidRDefault="00801F77" w:rsidP="000475A5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陈巴尔虎旗</w:t>
            </w:r>
          </w:p>
        </w:tc>
        <w:tc>
          <w:tcPr>
            <w:tcW w:w="633" w:type="dxa"/>
            <w:textDirection w:val="tbRlV"/>
            <w:vAlign w:val="center"/>
          </w:tcPr>
          <w:p w:rsidR="00801F77" w:rsidRDefault="00801F77" w:rsidP="000475A5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新巴尔虎左旗</w:t>
            </w:r>
          </w:p>
        </w:tc>
        <w:tc>
          <w:tcPr>
            <w:tcW w:w="633" w:type="dxa"/>
            <w:textDirection w:val="tbRlV"/>
            <w:vAlign w:val="center"/>
          </w:tcPr>
          <w:p w:rsidR="00801F77" w:rsidRDefault="00801F77" w:rsidP="000475A5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鄂温克族自治旗</w:t>
            </w:r>
          </w:p>
        </w:tc>
        <w:tc>
          <w:tcPr>
            <w:tcW w:w="633" w:type="dxa"/>
            <w:textDirection w:val="tbRlV"/>
            <w:vAlign w:val="center"/>
          </w:tcPr>
          <w:p w:rsidR="00801F77" w:rsidRDefault="00801F77" w:rsidP="000475A5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磴口县</w:t>
            </w:r>
          </w:p>
        </w:tc>
        <w:tc>
          <w:tcPr>
            <w:tcW w:w="633" w:type="dxa"/>
            <w:textDirection w:val="tbRlV"/>
            <w:vAlign w:val="center"/>
          </w:tcPr>
          <w:p w:rsidR="00801F77" w:rsidRDefault="00801F77" w:rsidP="000475A5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乌拉特后旗</w:t>
            </w:r>
          </w:p>
        </w:tc>
        <w:tc>
          <w:tcPr>
            <w:tcW w:w="633" w:type="dxa"/>
            <w:textDirection w:val="tbRlV"/>
            <w:vAlign w:val="center"/>
          </w:tcPr>
          <w:p w:rsidR="00801F77" w:rsidRDefault="00801F77" w:rsidP="000475A5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阿尔山市</w:t>
            </w:r>
          </w:p>
        </w:tc>
        <w:tc>
          <w:tcPr>
            <w:tcW w:w="633" w:type="dxa"/>
            <w:textDirection w:val="tbRlV"/>
            <w:vAlign w:val="center"/>
          </w:tcPr>
          <w:p w:rsidR="00801F77" w:rsidRDefault="00801F77" w:rsidP="000475A5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阿巴嘎旗</w:t>
            </w:r>
          </w:p>
        </w:tc>
        <w:tc>
          <w:tcPr>
            <w:tcW w:w="633" w:type="dxa"/>
            <w:textDirection w:val="tbRlV"/>
            <w:vAlign w:val="center"/>
          </w:tcPr>
          <w:p w:rsidR="00801F77" w:rsidRDefault="00801F77" w:rsidP="000475A5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苏尼特右旗</w:t>
            </w:r>
          </w:p>
        </w:tc>
        <w:tc>
          <w:tcPr>
            <w:tcW w:w="633" w:type="dxa"/>
            <w:textDirection w:val="tbRlV"/>
            <w:vAlign w:val="center"/>
          </w:tcPr>
          <w:p w:rsidR="00801F77" w:rsidRDefault="00801F77" w:rsidP="000475A5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东乌珠穆沁旗</w:t>
            </w:r>
          </w:p>
        </w:tc>
        <w:tc>
          <w:tcPr>
            <w:tcW w:w="633" w:type="dxa"/>
            <w:textDirection w:val="tbRlV"/>
            <w:vAlign w:val="center"/>
          </w:tcPr>
          <w:p w:rsidR="00801F77" w:rsidRDefault="00801F77" w:rsidP="000475A5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西乌珠穆沁旗</w:t>
            </w:r>
          </w:p>
        </w:tc>
        <w:tc>
          <w:tcPr>
            <w:tcW w:w="633" w:type="dxa"/>
            <w:textDirection w:val="tbRlV"/>
            <w:vAlign w:val="center"/>
          </w:tcPr>
          <w:p w:rsidR="00801F77" w:rsidRDefault="00801F77" w:rsidP="000475A5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镶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黄旗</w:t>
            </w:r>
          </w:p>
        </w:tc>
        <w:tc>
          <w:tcPr>
            <w:tcW w:w="633" w:type="dxa"/>
            <w:textDirection w:val="tbRlV"/>
            <w:vAlign w:val="center"/>
          </w:tcPr>
          <w:p w:rsidR="00801F77" w:rsidRDefault="00801F77" w:rsidP="000475A5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额济纳旗</w:t>
            </w:r>
          </w:p>
        </w:tc>
      </w:tr>
      <w:tr w:rsidR="00801F77" w:rsidTr="000475A5">
        <w:trPr>
          <w:trHeight w:val="397"/>
        </w:trPr>
        <w:tc>
          <w:tcPr>
            <w:tcW w:w="1261" w:type="dxa"/>
            <w:vMerge w:val="restart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A1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入学机会</w:t>
            </w:r>
          </w:p>
          <w:p w:rsidR="00801F77" w:rsidRDefault="00801F77" w:rsidP="000475A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分）</w:t>
            </w:r>
          </w:p>
        </w:tc>
        <w:tc>
          <w:tcPr>
            <w:tcW w:w="4172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进城务工人员随迁子女就学纳入流入地教育发展规划。坚持以流入地政府管理为主、以全日制公办中小学为主，纳入流入地政府财政保障体系。</w:t>
            </w:r>
          </w:p>
        </w:tc>
        <w:tc>
          <w:tcPr>
            <w:tcW w:w="576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801F77" w:rsidRDefault="00801F77" w:rsidP="000475A5">
            <w:pPr>
              <w:widowControl/>
              <w:spacing w:line="240" w:lineRule="exact"/>
              <w:ind w:firstLineChars="50" w:firstLine="90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L1</w:t>
            </w:r>
          </w:p>
          <w:p w:rsidR="00801F77" w:rsidRDefault="00801F77" w:rsidP="000475A5"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5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5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01F77" w:rsidTr="000475A5">
        <w:trPr>
          <w:trHeight w:val="397"/>
        </w:trPr>
        <w:tc>
          <w:tcPr>
            <w:tcW w:w="1261" w:type="dxa"/>
            <w:vMerge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72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构建起以政府为主导，学校、家庭、社会各方面广泛参与的留守儿童关爱体系和动态监测机制。加快农村牧区寄宿制学校建设，满足留守儿童入学住宿需求。</w:t>
            </w:r>
          </w:p>
        </w:tc>
        <w:tc>
          <w:tcPr>
            <w:tcW w:w="576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L2</w:t>
            </w:r>
          </w:p>
          <w:p w:rsidR="00801F77" w:rsidRDefault="00801F77" w:rsidP="000475A5"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5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5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01F77" w:rsidTr="000475A5">
        <w:trPr>
          <w:trHeight w:val="397"/>
        </w:trPr>
        <w:tc>
          <w:tcPr>
            <w:tcW w:w="1261" w:type="dxa"/>
            <w:vMerge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72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三类残疾儿童少年义务教育入学率不低于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80%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576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L3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4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4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01F77" w:rsidTr="000475A5">
        <w:trPr>
          <w:trHeight w:val="397"/>
        </w:trPr>
        <w:tc>
          <w:tcPr>
            <w:tcW w:w="1261" w:type="dxa"/>
            <w:vMerge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72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实行小学升初中划片就近入学。优质普通高中招生名额按初中规模合理分配，其分配比例不低于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60%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576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L4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6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6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01F77" w:rsidTr="000475A5">
        <w:trPr>
          <w:trHeight w:val="397"/>
        </w:trPr>
        <w:tc>
          <w:tcPr>
            <w:tcW w:w="1261" w:type="dxa"/>
            <w:vMerge w:val="restart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A2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保障机制</w:t>
            </w:r>
          </w:p>
          <w:p w:rsidR="00801F77" w:rsidRDefault="00801F77" w:rsidP="000475A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分）</w:t>
            </w:r>
          </w:p>
        </w:tc>
        <w:tc>
          <w:tcPr>
            <w:tcW w:w="4172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建立了义务教育均衡发展责任制度、监督机制和问责机制。</w:t>
            </w:r>
          </w:p>
        </w:tc>
        <w:tc>
          <w:tcPr>
            <w:tcW w:w="576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L5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01F77" w:rsidTr="000475A5">
        <w:trPr>
          <w:trHeight w:val="397"/>
        </w:trPr>
        <w:tc>
          <w:tcPr>
            <w:tcW w:w="1261" w:type="dxa"/>
            <w:vMerge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72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义务教育经费在财政预算中单列，近三年义务教育经费做到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“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三个增长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”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576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L6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5.1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4.8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6.7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5.4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5.7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5.7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5.7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4.4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4.4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5.1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01F77" w:rsidTr="000475A5">
        <w:trPr>
          <w:trHeight w:val="397"/>
        </w:trPr>
        <w:tc>
          <w:tcPr>
            <w:tcW w:w="1261" w:type="dxa"/>
            <w:vMerge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72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制定了义务教育学校标准化建设实施方案，并按实施方案完成进度计划。制定并有效实施了薄弱学校改造计划，坚持财政性教育经费向薄弱学校倾斜。</w:t>
            </w:r>
          </w:p>
        </w:tc>
        <w:tc>
          <w:tcPr>
            <w:tcW w:w="576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L7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6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6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01F77" w:rsidTr="000475A5">
        <w:trPr>
          <w:trHeight w:val="397"/>
        </w:trPr>
        <w:tc>
          <w:tcPr>
            <w:tcW w:w="1261" w:type="dxa"/>
            <w:vMerge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72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农村税费改革转移支付资金主要用于教育。</w:t>
            </w:r>
          </w:p>
        </w:tc>
        <w:tc>
          <w:tcPr>
            <w:tcW w:w="576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L8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2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2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1F77" w:rsidTr="000475A5">
        <w:trPr>
          <w:trHeight w:val="397"/>
        </w:trPr>
        <w:tc>
          <w:tcPr>
            <w:tcW w:w="1261" w:type="dxa"/>
            <w:vMerge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72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教育费附加足额征收，及时足额用于教育。</w:t>
            </w:r>
          </w:p>
        </w:tc>
        <w:tc>
          <w:tcPr>
            <w:tcW w:w="576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L9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1.3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1.2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1F77" w:rsidTr="000475A5">
        <w:trPr>
          <w:trHeight w:val="397"/>
        </w:trPr>
        <w:tc>
          <w:tcPr>
            <w:tcW w:w="1261" w:type="dxa"/>
            <w:vMerge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72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在城市（镇）建设中合理规划义务教育学校布局，城市（镇）建设规划有学校建设规划，并按规划建设好学校。</w:t>
            </w:r>
          </w:p>
        </w:tc>
        <w:tc>
          <w:tcPr>
            <w:tcW w:w="576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L10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01F77" w:rsidTr="000475A5">
        <w:trPr>
          <w:trHeight w:val="397"/>
        </w:trPr>
        <w:tc>
          <w:tcPr>
            <w:tcW w:w="1261" w:type="dxa"/>
            <w:vMerge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72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在推进义务教育均衡发展过程中，对民族义务教育学校在项目上优先安排，在资金上予以倾斜。</w:t>
            </w:r>
          </w:p>
        </w:tc>
        <w:tc>
          <w:tcPr>
            <w:tcW w:w="576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L11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2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1F77" w:rsidTr="000475A5">
        <w:trPr>
          <w:trHeight w:val="454"/>
        </w:trPr>
        <w:tc>
          <w:tcPr>
            <w:tcW w:w="1261" w:type="dxa"/>
            <w:vMerge w:val="restart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A3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教师队伍</w:t>
            </w:r>
          </w:p>
          <w:p w:rsidR="00801F77" w:rsidRDefault="00801F77" w:rsidP="000475A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分）</w:t>
            </w:r>
          </w:p>
        </w:tc>
        <w:tc>
          <w:tcPr>
            <w:tcW w:w="4172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全面实施义务教育学校教职工绩效工资制度，并按时足额发放。</w:t>
            </w:r>
          </w:p>
        </w:tc>
        <w:tc>
          <w:tcPr>
            <w:tcW w:w="576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L12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8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8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8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8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8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8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8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8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8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8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8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801F77" w:rsidTr="000475A5">
        <w:trPr>
          <w:trHeight w:val="454"/>
        </w:trPr>
        <w:tc>
          <w:tcPr>
            <w:tcW w:w="1261" w:type="dxa"/>
            <w:vMerge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72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建立完善教师补充机制，新增教师优先满足农村牧区学校、城镇薄弱学校需求。按编制标准配齐合格的学科教师。</w:t>
            </w:r>
          </w:p>
        </w:tc>
        <w:tc>
          <w:tcPr>
            <w:tcW w:w="576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L13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8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7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8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8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8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7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7.5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7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01F77" w:rsidTr="000475A5">
        <w:trPr>
          <w:trHeight w:val="454"/>
        </w:trPr>
        <w:tc>
          <w:tcPr>
            <w:tcW w:w="1261" w:type="dxa"/>
            <w:vMerge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72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建立并有效实施了县域内义务教育学校校长和教师定期交流制度。</w:t>
            </w:r>
          </w:p>
        </w:tc>
        <w:tc>
          <w:tcPr>
            <w:tcW w:w="576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L14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5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5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5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7.5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01F77" w:rsidTr="000475A5">
        <w:trPr>
          <w:trHeight w:val="454"/>
        </w:trPr>
        <w:tc>
          <w:tcPr>
            <w:tcW w:w="1261" w:type="dxa"/>
            <w:vMerge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72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中小学教师培训经费按不低于教师工资总额的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1-2%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纳入财政预算；教育费附加中提取不低于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15%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用于中小学教师继续教育；农村学校按照年度公用经费总额的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5%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用于教师培训。</w:t>
            </w:r>
          </w:p>
        </w:tc>
        <w:tc>
          <w:tcPr>
            <w:tcW w:w="576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L15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12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8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4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8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8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12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10.2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9.4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10.7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801F77" w:rsidTr="000475A5">
        <w:trPr>
          <w:trHeight w:val="454"/>
        </w:trPr>
        <w:tc>
          <w:tcPr>
            <w:tcW w:w="1261" w:type="dxa"/>
            <w:vMerge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72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建有农村牧区教师周转宿舍，解决交流教师、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岗教师、支教教师的居住问题。</w:t>
            </w:r>
          </w:p>
        </w:tc>
        <w:tc>
          <w:tcPr>
            <w:tcW w:w="576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L16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2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2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2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10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01F77" w:rsidTr="000475A5">
        <w:trPr>
          <w:trHeight w:val="454"/>
        </w:trPr>
        <w:tc>
          <w:tcPr>
            <w:tcW w:w="1261" w:type="dxa"/>
            <w:vMerge w:val="restart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A4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质量与管理（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分）</w:t>
            </w:r>
          </w:p>
        </w:tc>
        <w:tc>
          <w:tcPr>
            <w:tcW w:w="4172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按照《内蒙古自治区义务教育课程计划》，开齐开足国家课程，开好地方课程、校本课程。</w:t>
            </w:r>
          </w:p>
        </w:tc>
        <w:tc>
          <w:tcPr>
            <w:tcW w:w="576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L17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4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4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4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01F77" w:rsidTr="000475A5">
        <w:trPr>
          <w:trHeight w:val="454"/>
        </w:trPr>
        <w:tc>
          <w:tcPr>
            <w:tcW w:w="1261" w:type="dxa"/>
            <w:vMerge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72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九年义务教育巩固率达到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93%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576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L18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4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4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4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01F77" w:rsidTr="000475A5">
        <w:trPr>
          <w:trHeight w:val="454"/>
        </w:trPr>
        <w:tc>
          <w:tcPr>
            <w:tcW w:w="1261" w:type="dxa"/>
            <w:vMerge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72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小学、初中学生体质健康及格率均达到自治区规定的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85%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以上，保证每天开展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小时阳光体育活动。</w:t>
            </w:r>
          </w:p>
        </w:tc>
        <w:tc>
          <w:tcPr>
            <w:tcW w:w="576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L19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01F77" w:rsidTr="000475A5">
        <w:trPr>
          <w:trHeight w:val="454"/>
        </w:trPr>
        <w:tc>
          <w:tcPr>
            <w:tcW w:w="1261" w:type="dxa"/>
            <w:vMerge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72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义务教育阶段不存在重点校、重点班；公办义务教育学校择校现象得到基本遏制。</w:t>
            </w:r>
          </w:p>
        </w:tc>
        <w:tc>
          <w:tcPr>
            <w:tcW w:w="576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L20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4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4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4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01F77" w:rsidTr="000475A5">
        <w:trPr>
          <w:trHeight w:val="454"/>
        </w:trPr>
        <w:tc>
          <w:tcPr>
            <w:tcW w:w="1261" w:type="dxa"/>
            <w:vMerge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72" w:type="dxa"/>
            <w:shd w:val="clear" w:color="auto" w:fill="99CCFF"/>
            <w:vAlign w:val="center"/>
          </w:tcPr>
          <w:p w:rsidR="00801F77" w:rsidRDefault="00801F77" w:rsidP="000475A5">
            <w:pPr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无利用节假日、双休日、课余时间组织学生集体补课现象。学生每天在校学习时间（包括自习）小学不超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小时，初中不超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小时。小学一、二年级不留课外作业，其他年级课外作业每天不超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小时，初中课外作业每天不超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1.5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小时。教育行政部门和学校建立了减轻中小学生过重课业负担管理制度、监测制度、举报制度和问责制度。中小学过重课业负担得到有效减轻。</w:t>
            </w:r>
          </w:p>
        </w:tc>
        <w:tc>
          <w:tcPr>
            <w:tcW w:w="576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L21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5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5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5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4.5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5</w:t>
            </w:r>
          </w:p>
        </w:tc>
        <w:tc>
          <w:tcPr>
            <w:tcW w:w="633" w:type="dxa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01F77" w:rsidTr="000475A5">
        <w:trPr>
          <w:trHeight w:val="454"/>
        </w:trPr>
        <w:tc>
          <w:tcPr>
            <w:tcW w:w="6009" w:type="dxa"/>
            <w:gridSpan w:val="3"/>
            <w:shd w:val="clear" w:color="auto" w:fill="99CCFF"/>
            <w:vAlign w:val="center"/>
          </w:tcPr>
          <w:p w:rsidR="00801F77" w:rsidRDefault="00801F77" w:rsidP="000475A5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总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分</w:t>
            </w:r>
          </w:p>
        </w:tc>
        <w:tc>
          <w:tcPr>
            <w:tcW w:w="575" w:type="dxa"/>
            <w:shd w:val="clear" w:color="auto" w:fill="99CCFF"/>
            <w:vAlign w:val="center"/>
          </w:tcPr>
          <w:p w:rsidR="00801F77" w:rsidRDefault="00801F77" w:rsidP="000475A5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92.1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89.8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87.7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94.4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94.2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96.7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94.2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89.8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91.9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633" w:type="dxa"/>
            <w:shd w:val="clear" w:color="auto" w:fill="99CCFF"/>
            <w:vAlign w:val="center"/>
          </w:tcPr>
          <w:p w:rsidR="00801F77" w:rsidRDefault="00801F77" w:rsidP="000475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</w:tr>
    </w:tbl>
    <w:p w:rsidR="009A403E" w:rsidRPr="00801F77" w:rsidRDefault="009A403E" w:rsidP="00801F77"/>
    <w:sectPr w:rsidR="009A403E" w:rsidRPr="00801F77" w:rsidSect="006D04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55E" w:rsidRDefault="0040355E" w:rsidP="006D048A">
      <w:r>
        <w:separator/>
      </w:r>
    </w:p>
  </w:endnote>
  <w:endnote w:type="continuationSeparator" w:id="0">
    <w:p w:rsidR="0040355E" w:rsidRDefault="0040355E" w:rsidP="006D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55E" w:rsidRDefault="0040355E" w:rsidP="006D048A">
      <w:r>
        <w:separator/>
      </w:r>
    </w:p>
  </w:footnote>
  <w:footnote w:type="continuationSeparator" w:id="0">
    <w:p w:rsidR="0040355E" w:rsidRDefault="0040355E" w:rsidP="006D0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0F"/>
    <w:rsid w:val="001442D6"/>
    <w:rsid w:val="0040355E"/>
    <w:rsid w:val="006D048A"/>
    <w:rsid w:val="00801F77"/>
    <w:rsid w:val="00930710"/>
    <w:rsid w:val="0093120F"/>
    <w:rsid w:val="009A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0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04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04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04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0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04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04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04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2015-12-04T01:40:00Z</dcterms:created>
  <dcterms:modified xsi:type="dcterms:W3CDTF">2015-12-04T01:47:00Z</dcterms:modified>
</cp:coreProperties>
</file>