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60" w:rsidRDefault="00780260" w:rsidP="00780260">
      <w:pPr>
        <w:adjustRightInd w:val="0"/>
        <w:snapToGrid w:val="0"/>
        <w:spacing w:afterLines="50" w:after="120" w:line="280" w:lineRule="exact"/>
        <w:ind w:firstLineChars="200" w:firstLine="560"/>
        <w:jc w:val="center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表3</w:t>
      </w:r>
      <w:r>
        <w:rPr>
          <w:rFonts w:ascii="黑体" w:eastAsia="黑体" w:hAnsi="黑体" w:cs="黑体"/>
          <w:kern w:val="0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kern w:val="0"/>
          <w:sz w:val="28"/>
          <w:szCs w:val="28"/>
        </w:rPr>
        <w:t>新疆维吾尔自治区13个县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政</w:t>
      </w:r>
      <w:r>
        <w:rPr>
          <w:rFonts w:ascii="黑体" w:eastAsia="黑体" w:hAnsi="黑体" w:cs="黑体" w:hint="eastAsia"/>
          <w:kern w:val="0"/>
          <w:sz w:val="28"/>
          <w:szCs w:val="28"/>
        </w:rPr>
        <w:t>府推进义务教育均衡发展工作得分情况表</w:t>
      </w:r>
    </w:p>
    <w:tbl>
      <w:tblPr>
        <w:tblW w:w="13400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131"/>
        <w:gridCol w:w="872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</w:tblGrid>
      <w:tr w:rsidR="00780260" w:rsidTr="000475A5">
        <w:trPr>
          <w:cantSplit/>
          <w:trHeight w:val="1963"/>
          <w:tblHeader/>
          <w:jc w:val="center"/>
        </w:trPr>
        <w:tc>
          <w:tcPr>
            <w:tcW w:w="686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Default="00780260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3131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Default="00780260" w:rsidP="000475A5"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评估标准</w:t>
            </w:r>
          </w:p>
        </w:tc>
        <w:tc>
          <w:tcPr>
            <w:tcW w:w="872" w:type="dxa"/>
            <w:tcBorders>
              <w:bottom w:val="single" w:sz="4" w:space="0" w:color="4BACC6"/>
              <w:tl2br w:val="single" w:sz="4" w:space="0" w:color="4BACC6"/>
            </w:tcBorders>
            <w:shd w:val="clear" w:color="auto" w:fill="auto"/>
            <w:vAlign w:val="center"/>
          </w:tcPr>
          <w:p w:rsidR="00780260" w:rsidRDefault="00780260" w:rsidP="000475A5">
            <w:pPr>
              <w:widowControl/>
              <w:spacing w:line="240" w:lineRule="exact"/>
              <w:ind w:right="-108"/>
              <w:jc w:val="center"/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区县</w:t>
            </w:r>
          </w:p>
          <w:p w:rsidR="00780260" w:rsidRDefault="00780260" w:rsidP="000475A5">
            <w:pPr>
              <w:widowControl/>
              <w:spacing w:line="240" w:lineRule="exact"/>
              <w:ind w:right="-108"/>
              <w:jc w:val="center"/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780260" w:rsidRDefault="00780260" w:rsidP="000475A5">
            <w:pPr>
              <w:widowControl/>
              <w:spacing w:line="240" w:lineRule="exact"/>
              <w:ind w:right="-108"/>
              <w:jc w:val="center"/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780260" w:rsidRDefault="00780260" w:rsidP="000475A5">
            <w:pPr>
              <w:widowControl/>
              <w:spacing w:line="240" w:lineRule="exact"/>
              <w:ind w:right="-108"/>
              <w:jc w:val="center"/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780260" w:rsidRDefault="00780260" w:rsidP="000475A5">
            <w:pPr>
              <w:widowControl/>
              <w:spacing w:line="240" w:lineRule="exact"/>
              <w:ind w:right="-108"/>
              <w:jc w:val="center"/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780260" w:rsidRDefault="00780260" w:rsidP="000475A5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vAlign w:val="center"/>
          </w:tcPr>
          <w:p w:rsidR="00780260" w:rsidRPr="00FD60B6" w:rsidRDefault="00780260" w:rsidP="000475A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 w:rsidRPr="00FD60B6">
              <w:rPr>
                <w:rFonts w:hint="eastAsia"/>
                <w:b/>
                <w:color w:val="000000"/>
                <w:sz w:val="18"/>
                <w:szCs w:val="18"/>
              </w:rPr>
              <w:t>达</w:t>
            </w:r>
            <w:proofErr w:type="gramStart"/>
            <w:r w:rsidRPr="00FD60B6">
              <w:rPr>
                <w:rFonts w:hint="eastAsia"/>
                <w:b/>
                <w:color w:val="000000"/>
                <w:sz w:val="18"/>
                <w:szCs w:val="18"/>
              </w:rPr>
              <w:t>坂</w:t>
            </w:r>
            <w:proofErr w:type="gramEnd"/>
            <w:r w:rsidRPr="00FD60B6">
              <w:rPr>
                <w:rFonts w:hint="eastAsia"/>
                <w:b/>
                <w:color w:val="000000"/>
                <w:sz w:val="18"/>
                <w:szCs w:val="18"/>
              </w:rPr>
              <w:t>城区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 w:rsidRPr="00FD60B6">
              <w:rPr>
                <w:rFonts w:hint="eastAsia"/>
                <w:b/>
                <w:color w:val="000000"/>
                <w:sz w:val="18"/>
                <w:szCs w:val="18"/>
              </w:rPr>
              <w:t>乌鲁木齐县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D60B6">
              <w:rPr>
                <w:rFonts w:hint="eastAsia"/>
                <w:b/>
                <w:sz w:val="18"/>
                <w:szCs w:val="18"/>
              </w:rPr>
              <w:t>哈密市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D60B6">
              <w:rPr>
                <w:rFonts w:hint="eastAsia"/>
                <w:b/>
                <w:sz w:val="18"/>
                <w:szCs w:val="18"/>
              </w:rPr>
              <w:t>伊吾县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D60B6">
              <w:rPr>
                <w:rFonts w:hint="eastAsia"/>
                <w:b/>
                <w:sz w:val="18"/>
                <w:szCs w:val="18"/>
              </w:rPr>
              <w:t>疏附县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D60B6">
              <w:rPr>
                <w:rFonts w:hint="eastAsia"/>
                <w:b/>
                <w:sz w:val="18"/>
                <w:szCs w:val="18"/>
              </w:rPr>
              <w:t>呼图壁县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D60B6">
              <w:rPr>
                <w:rFonts w:hint="eastAsia"/>
                <w:b/>
                <w:sz w:val="18"/>
                <w:szCs w:val="18"/>
              </w:rPr>
              <w:t>木垒哈萨克自治县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D60B6">
              <w:rPr>
                <w:rFonts w:hint="eastAsia"/>
                <w:b/>
                <w:sz w:val="18"/>
                <w:szCs w:val="18"/>
              </w:rPr>
              <w:t>博乐市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D60B6">
              <w:rPr>
                <w:rFonts w:hint="eastAsia"/>
                <w:b/>
                <w:sz w:val="18"/>
                <w:szCs w:val="18"/>
              </w:rPr>
              <w:t>阿拉</w:t>
            </w:r>
            <w:proofErr w:type="gramStart"/>
            <w:r w:rsidRPr="00FD60B6">
              <w:rPr>
                <w:rFonts w:hint="eastAsia"/>
                <w:b/>
                <w:sz w:val="18"/>
                <w:szCs w:val="18"/>
              </w:rPr>
              <w:t>山口市</w:t>
            </w:r>
            <w:proofErr w:type="gramEnd"/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D60B6">
              <w:rPr>
                <w:rFonts w:hint="eastAsia"/>
                <w:b/>
                <w:sz w:val="18"/>
                <w:szCs w:val="18"/>
              </w:rPr>
              <w:t>和静县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D60B6">
              <w:rPr>
                <w:rFonts w:hint="eastAsia"/>
                <w:b/>
                <w:sz w:val="18"/>
                <w:szCs w:val="18"/>
              </w:rPr>
              <w:t>阿合奇县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D60B6">
              <w:rPr>
                <w:rFonts w:hint="eastAsia"/>
                <w:b/>
                <w:sz w:val="18"/>
                <w:szCs w:val="18"/>
              </w:rPr>
              <w:t>奎屯市</w:t>
            </w:r>
          </w:p>
        </w:tc>
        <w:tc>
          <w:tcPr>
            <w:tcW w:w="671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FD60B6" w:rsidRDefault="00780260" w:rsidP="000475A5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FD60B6">
              <w:rPr>
                <w:rFonts w:hint="eastAsia"/>
                <w:b/>
                <w:sz w:val="18"/>
                <w:szCs w:val="18"/>
              </w:rPr>
              <w:t>尼勒克县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入学机会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1.将进城务工人员随迁子女就学纳入当地教育发展规划，纳入财政保障体系。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5.43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2.建立以政府为主导、社会各方面广泛参与的留守儿童关爱体系。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5.49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5.43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3.三类残疾儿童少年入学率不低于80%。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5.7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4.优质普通高中招生名额分配到县域内各初中的比例逐步提高。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671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2.9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  <w:t>保障机制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5.建立义务教育均衡发展责任、监督和问责机制。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5.96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671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6.3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6.义务教育经费在财政预算中单列，近三年教育经费做到“三个增长”。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11.87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11.87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10.94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10.96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11.88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10.94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1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11.5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7.推进学校标准化建设，制定并有效实施了薄弱学校改造计划，财政性教育经费向薄弱学校倾斜。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1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8.农村税费改革转移支付资金用于义务教育的比例达到</w:t>
            </w:r>
            <w:proofErr w:type="gramStart"/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省级规定</w:t>
            </w:r>
            <w:proofErr w:type="gramEnd"/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要求。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3.1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t>队伍建设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9.全面实施义务教育绩效工资制度。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8.46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8.46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10.义务教育学校学科教师配备合理，生师比达到省定编制标准。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8.17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8.19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11.建立并有效实施了县域内义务教育学校校长和教师定期交流制度。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8.17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8.17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8.17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12.落实教师培训经费，加强教师培训。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7.88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8.46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7.58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8.14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:rsidR="00780260" w:rsidRPr="007F13E1" w:rsidRDefault="00780260" w:rsidP="000475A5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质量与管理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13.按照国家规定的义务教育课程方案开齐开足课程。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3.4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14.小学、初中巩固率达到</w:t>
            </w:r>
            <w:proofErr w:type="gramStart"/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省级规定</w:t>
            </w:r>
            <w:proofErr w:type="gramEnd"/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标准。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15.小学、初中学生体质健康及格率达到</w:t>
            </w:r>
            <w:proofErr w:type="gramStart"/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省级规定</w:t>
            </w:r>
            <w:proofErr w:type="gramEnd"/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标准。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3.2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16.义务教育阶段不存在重点校和重点班，公办义务教育择校现象得到基本遏制。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3.4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686" w:type="dxa"/>
            <w:vMerge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3131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17.中小学生过重的课业负担得到有效减轻。</w:t>
            </w:r>
          </w:p>
        </w:tc>
        <w:tc>
          <w:tcPr>
            <w:tcW w:w="872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7F13E1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671" w:type="dxa"/>
            <w:tcBorders>
              <w:bottom w:val="single" w:sz="4" w:space="0" w:color="4BACC6"/>
            </w:tcBorders>
            <w:shd w:val="clear" w:color="auto" w:fill="auto"/>
            <w:vAlign w:val="center"/>
          </w:tcPr>
          <w:p w:rsidR="00780260" w:rsidRPr="007F13E1" w:rsidRDefault="00780260" w:rsidP="000475A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780260" w:rsidTr="000475A5">
        <w:trPr>
          <w:trHeight w:val="454"/>
          <w:jc w:val="center"/>
        </w:trPr>
        <w:tc>
          <w:tcPr>
            <w:tcW w:w="3817" w:type="dxa"/>
            <w:gridSpan w:val="2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kern w:val="0"/>
                <w:sz w:val="18"/>
                <w:szCs w:val="18"/>
              </w:rPr>
              <w:t>总    分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80260" w:rsidRPr="007F13E1" w:rsidRDefault="00780260" w:rsidP="000475A5">
            <w:pPr>
              <w:widowControl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7F13E1">
              <w:rPr>
                <w:rFonts w:ascii="宋体" w:hAnsi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96.81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95.13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97.81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98.31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94.48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95.78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95.52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95.66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96.66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80260" w:rsidRPr="007F13E1" w:rsidRDefault="00780260" w:rsidP="000475A5">
            <w:pPr>
              <w:rPr>
                <w:rFonts w:ascii="宋体" w:hAnsi="宋体"/>
                <w:sz w:val="18"/>
                <w:szCs w:val="18"/>
              </w:rPr>
            </w:pPr>
            <w:r w:rsidRPr="007F13E1">
              <w:rPr>
                <w:rFonts w:ascii="宋体" w:hAnsi="宋体"/>
                <w:sz w:val="18"/>
                <w:szCs w:val="18"/>
              </w:rPr>
              <w:t>95.56</w:t>
            </w:r>
          </w:p>
        </w:tc>
      </w:tr>
    </w:tbl>
    <w:p w:rsidR="00780260" w:rsidRDefault="00780260" w:rsidP="00780260">
      <w:pPr>
        <w:adjustRightInd w:val="0"/>
        <w:snapToGrid w:val="0"/>
        <w:spacing w:line="400" w:lineRule="exact"/>
        <w:rPr>
          <w:rFonts w:ascii="黑体" w:eastAsia="黑体" w:hAnsi="宋体" w:cs="黑体" w:hint="eastAsia"/>
          <w:kern w:val="0"/>
          <w:sz w:val="28"/>
          <w:szCs w:val="28"/>
        </w:rPr>
        <w:sectPr w:rsidR="00780260" w:rsidSect="002C64EC">
          <w:pgSz w:w="16838" w:h="11906" w:orient="landscape"/>
          <w:pgMar w:top="1531" w:right="1191" w:bottom="1531" w:left="1701" w:header="851" w:footer="992" w:gutter="0"/>
          <w:cols w:space="720"/>
          <w:docGrid w:linePitch="312"/>
        </w:sectPr>
      </w:pPr>
      <w:bookmarkStart w:id="0" w:name="_GoBack"/>
      <w:bookmarkEnd w:id="0"/>
    </w:p>
    <w:p w:rsidR="009A403E" w:rsidRDefault="009A403E" w:rsidP="00780260"/>
    <w:sectPr w:rsidR="009A403E" w:rsidSect="007802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B0" w:rsidRDefault="00BA14B0" w:rsidP="00780260">
      <w:r>
        <w:separator/>
      </w:r>
    </w:p>
  </w:endnote>
  <w:endnote w:type="continuationSeparator" w:id="0">
    <w:p w:rsidR="00BA14B0" w:rsidRDefault="00BA14B0" w:rsidP="0078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B0" w:rsidRDefault="00BA14B0" w:rsidP="00780260">
      <w:r>
        <w:separator/>
      </w:r>
    </w:p>
  </w:footnote>
  <w:footnote w:type="continuationSeparator" w:id="0">
    <w:p w:rsidR="00BA14B0" w:rsidRDefault="00BA14B0" w:rsidP="00780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3F"/>
    <w:rsid w:val="001442D6"/>
    <w:rsid w:val="00780260"/>
    <w:rsid w:val="007B603F"/>
    <w:rsid w:val="009A403E"/>
    <w:rsid w:val="00B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2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2015-12-04T01:28:00Z</dcterms:created>
  <dcterms:modified xsi:type="dcterms:W3CDTF">2015-12-04T01:29:00Z</dcterms:modified>
</cp:coreProperties>
</file>